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B3" w:rsidRDefault="00B119BB" w:rsidP="00B119BB">
      <w:pPr>
        <w:jc w:val="center"/>
        <w:rPr>
          <w:rFonts w:ascii="黑体" w:eastAsia="黑体" w:hAnsi="黑体" w:cs="宋体"/>
          <w:b/>
          <w:bCs/>
          <w:color w:val="000000"/>
          <w:kern w:val="0"/>
          <w:sz w:val="32"/>
          <w:szCs w:val="24"/>
        </w:rPr>
      </w:pPr>
      <w:r w:rsidRPr="00C75DB3">
        <w:rPr>
          <w:rFonts w:ascii="黑体" w:eastAsia="黑体" w:hAnsi="黑体" w:cs="宋体" w:hint="eastAsia"/>
          <w:b/>
          <w:bCs/>
          <w:color w:val="000000"/>
          <w:kern w:val="0"/>
          <w:sz w:val="32"/>
          <w:szCs w:val="24"/>
        </w:rPr>
        <w:t>上海商学院20</w:t>
      </w:r>
      <w:r w:rsidR="00386908">
        <w:rPr>
          <w:rFonts w:ascii="黑体" w:eastAsia="黑体" w:hAnsi="黑体" w:cs="宋体" w:hint="eastAsia"/>
          <w:b/>
          <w:bCs/>
          <w:color w:val="000000"/>
          <w:kern w:val="0"/>
          <w:sz w:val="32"/>
          <w:szCs w:val="24"/>
        </w:rPr>
        <w:t>2</w:t>
      </w:r>
      <w:r w:rsidR="001F5984">
        <w:rPr>
          <w:rFonts w:ascii="黑体" w:eastAsia="黑体" w:hAnsi="黑体" w:cs="宋体"/>
          <w:b/>
          <w:bCs/>
          <w:color w:val="000000"/>
          <w:kern w:val="0"/>
          <w:sz w:val="32"/>
          <w:szCs w:val="24"/>
        </w:rPr>
        <w:t>1</w:t>
      </w:r>
      <w:r w:rsidRPr="00C75DB3">
        <w:rPr>
          <w:rFonts w:ascii="黑体" w:eastAsia="黑体" w:hAnsi="黑体" w:cs="宋体" w:hint="eastAsia"/>
          <w:b/>
          <w:bCs/>
          <w:color w:val="000000"/>
          <w:kern w:val="0"/>
          <w:sz w:val="32"/>
          <w:szCs w:val="24"/>
        </w:rPr>
        <w:t>年度支出预算表</w:t>
      </w:r>
    </w:p>
    <w:p w:rsidR="00702DAC" w:rsidRDefault="00BE7E0E" w:rsidP="001F5984">
      <w:pPr>
        <w:spacing w:line="360" w:lineRule="auto"/>
        <w:jc w:val="left"/>
        <w:rPr>
          <w:sz w:val="24"/>
          <w:szCs w:val="24"/>
        </w:rPr>
      </w:pPr>
      <w:r w:rsidRPr="00B119BB">
        <w:rPr>
          <w:rFonts w:ascii="宋体" w:eastAsia="宋体" w:hAnsi="宋体" w:cs="宋体" w:hint="eastAsia"/>
          <w:kern w:val="0"/>
          <w:sz w:val="24"/>
          <w:szCs w:val="24"/>
        </w:rPr>
        <w:t>编制单位：上海商学院</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001F5984">
        <w:rPr>
          <w:rFonts w:ascii="宋体" w:eastAsia="宋体" w:hAnsi="宋体" w:cs="宋体"/>
          <w:kern w:val="0"/>
          <w:sz w:val="24"/>
          <w:szCs w:val="24"/>
        </w:rPr>
        <w:t xml:space="preserve">             </w:t>
      </w:r>
      <w:r w:rsidRPr="00B119BB">
        <w:rPr>
          <w:rFonts w:ascii="宋体" w:eastAsia="宋体" w:hAnsi="宋体" w:cs="宋体" w:hint="eastAsia"/>
          <w:kern w:val="0"/>
          <w:sz w:val="24"/>
          <w:szCs w:val="24"/>
        </w:rPr>
        <w:t>单位：元</w:t>
      </w:r>
    </w:p>
    <w:tbl>
      <w:tblPr>
        <w:tblW w:w="13887" w:type="dxa"/>
        <w:jc w:val="center"/>
        <w:tblLook w:val="04A0" w:firstRow="1" w:lastRow="0" w:firstColumn="1" w:lastColumn="0" w:noHBand="0" w:noVBand="1"/>
      </w:tblPr>
      <w:tblGrid>
        <w:gridCol w:w="852"/>
        <w:gridCol w:w="708"/>
        <w:gridCol w:w="661"/>
        <w:gridCol w:w="4862"/>
        <w:gridCol w:w="2268"/>
        <w:gridCol w:w="2268"/>
        <w:gridCol w:w="2268"/>
      </w:tblGrid>
      <w:tr w:rsidR="00BE7E0E" w:rsidRPr="00BE7E0E" w:rsidTr="00023045">
        <w:trPr>
          <w:trHeight w:val="480"/>
          <w:jc w:val="center"/>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E0E" w:rsidRPr="00BE7E0E" w:rsidRDefault="00BE7E0E" w:rsidP="00BE7E0E">
            <w:pPr>
              <w:widowControl/>
              <w:jc w:val="center"/>
              <w:rPr>
                <w:rFonts w:ascii="宋体" w:eastAsia="宋体" w:hAnsi="宋体" w:cs="宋体"/>
                <w:kern w:val="0"/>
                <w:sz w:val="22"/>
              </w:rPr>
            </w:pPr>
            <w:r w:rsidRPr="00BE7E0E">
              <w:rPr>
                <w:rFonts w:ascii="宋体" w:eastAsia="宋体" w:hAnsi="宋体" w:cs="宋体" w:hint="eastAsia"/>
                <w:kern w:val="0"/>
                <w:sz w:val="22"/>
              </w:rPr>
              <w:t>项目</w:t>
            </w:r>
          </w:p>
        </w:tc>
        <w:tc>
          <w:tcPr>
            <w:tcW w:w="6804" w:type="dxa"/>
            <w:gridSpan w:val="3"/>
            <w:tcBorders>
              <w:top w:val="single" w:sz="4" w:space="0" w:color="auto"/>
              <w:left w:val="nil"/>
              <w:bottom w:val="single" w:sz="4" w:space="0" w:color="auto"/>
              <w:right w:val="single" w:sz="4" w:space="0" w:color="auto"/>
            </w:tcBorders>
            <w:shd w:val="clear" w:color="auto" w:fill="auto"/>
            <w:noWrap/>
            <w:vAlign w:val="center"/>
            <w:hideMark/>
          </w:tcPr>
          <w:p w:rsidR="00BE7E0E" w:rsidRPr="00BE7E0E" w:rsidRDefault="00BE7E0E" w:rsidP="00BE7E0E">
            <w:pPr>
              <w:widowControl/>
              <w:jc w:val="center"/>
              <w:rPr>
                <w:rFonts w:ascii="宋体" w:eastAsia="宋体" w:hAnsi="宋体" w:cs="宋体"/>
                <w:kern w:val="0"/>
                <w:sz w:val="22"/>
              </w:rPr>
            </w:pPr>
            <w:r w:rsidRPr="00BE7E0E">
              <w:rPr>
                <w:rFonts w:ascii="宋体" w:eastAsia="宋体" w:hAnsi="宋体" w:cs="宋体" w:hint="eastAsia"/>
                <w:kern w:val="0"/>
                <w:sz w:val="22"/>
              </w:rPr>
              <w:t>支出预算</w:t>
            </w:r>
          </w:p>
        </w:tc>
      </w:tr>
      <w:tr w:rsidR="00BE7E0E" w:rsidRPr="00BE7E0E" w:rsidTr="00023045">
        <w:trPr>
          <w:trHeight w:val="480"/>
          <w:jc w:val="center"/>
        </w:trPr>
        <w:tc>
          <w:tcPr>
            <w:tcW w:w="222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7E0E" w:rsidRPr="00BE7E0E" w:rsidRDefault="00BE7E0E" w:rsidP="00BE7E0E">
            <w:pPr>
              <w:widowControl/>
              <w:jc w:val="center"/>
              <w:rPr>
                <w:rFonts w:ascii="宋体" w:eastAsia="宋体" w:hAnsi="宋体" w:cs="宋体"/>
                <w:kern w:val="0"/>
                <w:sz w:val="22"/>
              </w:rPr>
            </w:pPr>
            <w:r w:rsidRPr="00BE7E0E">
              <w:rPr>
                <w:rFonts w:ascii="宋体" w:eastAsia="宋体" w:hAnsi="宋体" w:cs="宋体" w:hint="eastAsia"/>
                <w:kern w:val="0"/>
                <w:sz w:val="22"/>
              </w:rPr>
              <w:t>功能分类科目编码</w:t>
            </w:r>
          </w:p>
        </w:tc>
        <w:tc>
          <w:tcPr>
            <w:tcW w:w="48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7E0E" w:rsidRPr="00BE7E0E" w:rsidRDefault="00BE7E0E" w:rsidP="00BE7E0E">
            <w:pPr>
              <w:widowControl/>
              <w:jc w:val="center"/>
              <w:rPr>
                <w:rFonts w:ascii="宋体" w:eastAsia="宋体" w:hAnsi="宋体" w:cs="宋体"/>
                <w:kern w:val="0"/>
                <w:sz w:val="22"/>
              </w:rPr>
            </w:pPr>
            <w:r w:rsidRPr="00BE7E0E">
              <w:rPr>
                <w:rFonts w:ascii="宋体" w:eastAsia="宋体" w:hAnsi="宋体" w:cs="宋体" w:hint="eastAsia"/>
                <w:kern w:val="0"/>
                <w:sz w:val="22"/>
              </w:rPr>
              <w:t>功能分类科目名称</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7E0E" w:rsidRPr="00BE7E0E" w:rsidRDefault="00BE7E0E" w:rsidP="00BE7E0E">
            <w:pPr>
              <w:widowControl/>
              <w:jc w:val="center"/>
              <w:rPr>
                <w:rFonts w:ascii="宋体" w:eastAsia="宋体" w:hAnsi="宋体" w:cs="宋体"/>
                <w:kern w:val="0"/>
                <w:sz w:val="22"/>
              </w:rPr>
            </w:pPr>
            <w:r w:rsidRPr="00BE7E0E">
              <w:rPr>
                <w:rFonts w:ascii="宋体" w:eastAsia="宋体" w:hAnsi="宋体" w:cs="宋体" w:hint="eastAsia"/>
                <w:kern w:val="0"/>
                <w:sz w:val="22"/>
              </w:rPr>
              <w:t>合计</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E7E0E" w:rsidRPr="00BE7E0E" w:rsidRDefault="00BE7E0E" w:rsidP="00BE7E0E">
            <w:pPr>
              <w:widowControl/>
              <w:jc w:val="center"/>
              <w:rPr>
                <w:rFonts w:ascii="宋体" w:eastAsia="宋体" w:hAnsi="宋体" w:cs="宋体"/>
                <w:kern w:val="0"/>
                <w:sz w:val="22"/>
              </w:rPr>
            </w:pPr>
            <w:r w:rsidRPr="00BE7E0E">
              <w:rPr>
                <w:rFonts w:ascii="宋体" w:eastAsia="宋体" w:hAnsi="宋体" w:cs="宋体" w:hint="eastAsia"/>
                <w:kern w:val="0"/>
                <w:sz w:val="22"/>
              </w:rPr>
              <w:t>基本支出</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7E0E" w:rsidRPr="00BE7E0E" w:rsidRDefault="00BE7E0E" w:rsidP="00BE7E0E">
            <w:pPr>
              <w:widowControl/>
              <w:jc w:val="center"/>
              <w:rPr>
                <w:rFonts w:ascii="宋体" w:eastAsia="宋体" w:hAnsi="宋体" w:cs="宋体"/>
                <w:kern w:val="0"/>
                <w:sz w:val="22"/>
              </w:rPr>
            </w:pPr>
            <w:r w:rsidRPr="00BE7E0E">
              <w:rPr>
                <w:rFonts w:ascii="宋体" w:eastAsia="宋体" w:hAnsi="宋体" w:cs="宋体" w:hint="eastAsia"/>
                <w:kern w:val="0"/>
                <w:sz w:val="22"/>
              </w:rPr>
              <w:t>项目支出</w:t>
            </w:r>
          </w:p>
        </w:tc>
      </w:tr>
      <w:tr w:rsidR="00BE7E0E"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BE7E0E" w:rsidRPr="00BE7E0E" w:rsidRDefault="00BE7E0E" w:rsidP="00BE7E0E">
            <w:pPr>
              <w:widowControl/>
              <w:jc w:val="center"/>
              <w:rPr>
                <w:rFonts w:ascii="宋体" w:eastAsia="宋体" w:hAnsi="宋体" w:cs="宋体"/>
                <w:kern w:val="0"/>
                <w:sz w:val="22"/>
              </w:rPr>
            </w:pPr>
            <w:r w:rsidRPr="00BE7E0E">
              <w:rPr>
                <w:rFonts w:ascii="宋体" w:eastAsia="宋体" w:hAnsi="宋体" w:cs="宋体" w:hint="eastAsia"/>
                <w:kern w:val="0"/>
                <w:sz w:val="22"/>
              </w:rPr>
              <w:t>类</w:t>
            </w:r>
          </w:p>
        </w:tc>
        <w:tc>
          <w:tcPr>
            <w:tcW w:w="708" w:type="dxa"/>
            <w:tcBorders>
              <w:top w:val="nil"/>
              <w:left w:val="nil"/>
              <w:bottom w:val="single" w:sz="4" w:space="0" w:color="auto"/>
              <w:right w:val="single" w:sz="4" w:space="0" w:color="auto"/>
            </w:tcBorders>
            <w:shd w:val="clear" w:color="auto" w:fill="auto"/>
            <w:noWrap/>
            <w:vAlign w:val="center"/>
            <w:hideMark/>
          </w:tcPr>
          <w:p w:rsidR="00BE7E0E" w:rsidRPr="00BE7E0E" w:rsidRDefault="00BE7E0E" w:rsidP="00BE7E0E">
            <w:pPr>
              <w:widowControl/>
              <w:jc w:val="center"/>
              <w:rPr>
                <w:rFonts w:ascii="宋体" w:eastAsia="宋体" w:hAnsi="宋体" w:cs="宋体"/>
                <w:kern w:val="0"/>
                <w:sz w:val="22"/>
              </w:rPr>
            </w:pPr>
            <w:r w:rsidRPr="00BE7E0E">
              <w:rPr>
                <w:rFonts w:ascii="宋体" w:eastAsia="宋体" w:hAnsi="宋体" w:cs="宋体" w:hint="eastAsia"/>
                <w:kern w:val="0"/>
                <w:sz w:val="22"/>
              </w:rPr>
              <w:t>款</w:t>
            </w:r>
          </w:p>
        </w:tc>
        <w:tc>
          <w:tcPr>
            <w:tcW w:w="661" w:type="dxa"/>
            <w:tcBorders>
              <w:top w:val="nil"/>
              <w:left w:val="nil"/>
              <w:bottom w:val="single" w:sz="4" w:space="0" w:color="auto"/>
              <w:right w:val="single" w:sz="4" w:space="0" w:color="auto"/>
            </w:tcBorders>
            <w:shd w:val="clear" w:color="auto" w:fill="auto"/>
            <w:noWrap/>
            <w:vAlign w:val="center"/>
            <w:hideMark/>
          </w:tcPr>
          <w:p w:rsidR="00BE7E0E" w:rsidRPr="00BE7E0E" w:rsidRDefault="00BE7E0E" w:rsidP="00BE7E0E">
            <w:pPr>
              <w:widowControl/>
              <w:jc w:val="center"/>
              <w:rPr>
                <w:rFonts w:ascii="宋体" w:eastAsia="宋体" w:hAnsi="宋体" w:cs="宋体"/>
                <w:kern w:val="0"/>
                <w:sz w:val="22"/>
              </w:rPr>
            </w:pPr>
            <w:r w:rsidRPr="00BE7E0E">
              <w:rPr>
                <w:rFonts w:ascii="宋体" w:eastAsia="宋体" w:hAnsi="宋体" w:cs="宋体" w:hint="eastAsia"/>
                <w:kern w:val="0"/>
                <w:sz w:val="22"/>
              </w:rPr>
              <w:t>项</w:t>
            </w:r>
          </w:p>
        </w:tc>
        <w:tc>
          <w:tcPr>
            <w:tcW w:w="4862" w:type="dxa"/>
            <w:vMerge/>
            <w:tcBorders>
              <w:top w:val="nil"/>
              <w:left w:val="single" w:sz="4" w:space="0" w:color="auto"/>
              <w:bottom w:val="single" w:sz="4" w:space="0" w:color="auto"/>
              <w:right w:val="single" w:sz="4" w:space="0" w:color="auto"/>
            </w:tcBorders>
            <w:vAlign w:val="center"/>
            <w:hideMark/>
          </w:tcPr>
          <w:p w:rsidR="00BE7E0E" w:rsidRPr="00BE7E0E" w:rsidRDefault="00BE7E0E" w:rsidP="00BE7E0E">
            <w:pPr>
              <w:widowControl/>
              <w:jc w:val="left"/>
              <w:rPr>
                <w:rFonts w:ascii="宋体" w:eastAsia="宋体" w:hAnsi="宋体" w:cs="宋体"/>
                <w:kern w:val="0"/>
                <w:sz w:val="22"/>
              </w:rPr>
            </w:pPr>
          </w:p>
        </w:tc>
        <w:tc>
          <w:tcPr>
            <w:tcW w:w="2268" w:type="dxa"/>
            <w:vMerge/>
            <w:tcBorders>
              <w:top w:val="nil"/>
              <w:left w:val="single" w:sz="4" w:space="0" w:color="auto"/>
              <w:bottom w:val="single" w:sz="4" w:space="0" w:color="auto"/>
              <w:right w:val="single" w:sz="4" w:space="0" w:color="auto"/>
            </w:tcBorders>
            <w:vAlign w:val="center"/>
            <w:hideMark/>
          </w:tcPr>
          <w:p w:rsidR="00BE7E0E" w:rsidRPr="00BE7E0E" w:rsidRDefault="00BE7E0E" w:rsidP="00BE7E0E">
            <w:pPr>
              <w:widowControl/>
              <w:jc w:val="left"/>
              <w:rPr>
                <w:rFonts w:ascii="宋体" w:eastAsia="宋体" w:hAnsi="宋体" w:cs="宋体"/>
                <w:kern w:val="0"/>
                <w:sz w:val="22"/>
              </w:rPr>
            </w:pPr>
          </w:p>
        </w:tc>
        <w:tc>
          <w:tcPr>
            <w:tcW w:w="2268" w:type="dxa"/>
            <w:vMerge/>
            <w:tcBorders>
              <w:top w:val="nil"/>
              <w:left w:val="single" w:sz="4" w:space="0" w:color="auto"/>
              <w:bottom w:val="single" w:sz="4" w:space="0" w:color="000000"/>
              <w:right w:val="single" w:sz="4" w:space="0" w:color="auto"/>
            </w:tcBorders>
            <w:vAlign w:val="center"/>
            <w:hideMark/>
          </w:tcPr>
          <w:p w:rsidR="00BE7E0E" w:rsidRPr="00BE7E0E" w:rsidRDefault="00BE7E0E" w:rsidP="00BE7E0E">
            <w:pPr>
              <w:widowControl/>
              <w:jc w:val="left"/>
              <w:rPr>
                <w:rFonts w:ascii="宋体" w:eastAsia="宋体" w:hAnsi="宋体" w:cs="宋体"/>
                <w:kern w:val="0"/>
                <w:sz w:val="22"/>
              </w:rPr>
            </w:pPr>
          </w:p>
        </w:tc>
        <w:tc>
          <w:tcPr>
            <w:tcW w:w="2268" w:type="dxa"/>
            <w:vMerge/>
            <w:tcBorders>
              <w:top w:val="nil"/>
              <w:left w:val="single" w:sz="4" w:space="0" w:color="auto"/>
              <w:bottom w:val="single" w:sz="4" w:space="0" w:color="auto"/>
              <w:right w:val="single" w:sz="4" w:space="0" w:color="auto"/>
            </w:tcBorders>
            <w:vAlign w:val="center"/>
            <w:hideMark/>
          </w:tcPr>
          <w:p w:rsidR="00BE7E0E" w:rsidRPr="00BE7E0E" w:rsidRDefault="00BE7E0E" w:rsidP="00BE7E0E">
            <w:pPr>
              <w:widowControl/>
              <w:jc w:val="left"/>
              <w:rPr>
                <w:rFonts w:ascii="宋体" w:eastAsia="宋体" w:hAnsi="宋体" w:cs="宋体"/>
                <w:kern w:val="0"/>
                <w:sz w:val="22"/>
              </w:rPr>
            </w:pP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205</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教育支出</w:t>
            </w:r>
            <w:bookmarkStart w:id="0" w:name="_GoBack"/>
            <w:bookmarkEnd w:id="0"/>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379,850,594</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345,272,520</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34,578,074</w:t>
            </w: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205</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02</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普通教育</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379,250,594</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345,272,520</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33,978,074</w:t>
            </w: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205</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02</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05</w:t>
            </w: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高等教育</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379,250,594</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345,272,520</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33,978,074</w:t>
            </w: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205</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09</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教育费附加安排的支出</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600,000</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600,000</w:t>
            </w: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205</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09</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99</w:t>
            </w: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其他教育费附加安排的支出</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600,000</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600,000</w:t>
            </w: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208</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社会保障和就业支出</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32,490,506</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32,490,506</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208</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05</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行政事业单位养老支出</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32,490,506</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32,490,506</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208</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05</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02</w:t>
            </w: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事业单位离退休</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437,370</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437,370</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208</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05</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05</w:t>
            </w: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机关事业单位基本养老保险缴费支出</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21,285,924</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21,285,924</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208</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05</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06</w:t>
            </w: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机关事业单位职业年金缴费支出</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10,767,212</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10,767,212</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210</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卫生健康支出</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14,142,765</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14,094,765</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48,000</w:t>
            </w: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210</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11</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行政事业单位医疗</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14,094,765</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14,094,765</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210</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11</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02</w:t>
            </w: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事业单位医疗</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14,094,765</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14,094,765</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lastRenderedPageBreak/>
              <w:t>210</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99</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其他卫生健康支出</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48,000</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48,000</w:t>
            </w: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210</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99</w:t>
            </w: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99</w:t>
            </w: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其他卫生健康支出</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48,000</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48,000</w:t>
            </w: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221</w:t>
            </w:r>
          </w:p>
        </w:tc>
        <w:tc>
          <w:tcPr>
            <w:tcW w:w="70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661"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center"/>
              <w:rPr>
                <w:rFonts w:ascii="宋体" w:eastAsia="宋体" w:hAnsi="宋体" w:cs="宋体"/>
                <w:kern w:val="0"/>
                <w:sz w:val="22"/>
              </w:rPr>
            </w:pPr>
          </w:p>
        </w:tc>
        <w:tc>
          <w:tcPr>
            <w:tcW w:w="4862" w:type="dxa"/>
            <w:tcBorders>
              <w:top w:val="nil"/>
              <w:left w:val="nil"/>
              <w:bottom w:val="single" w:sz="4" w:space="0" w:color="auto"/>
              <w:right w:val="single" w:sz="4" w:space="0" w:color="auto"/>
            </w:tcBorders>
            <w:shd w:val="clear" w:color="auto" w:fill="auto"/>
            <w:vAlign w:val="center"/>
            <w:hideMark/>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住房保障支出</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16,911,435</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16,911,435</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221</w:t>
            </w:r>
          </w:p>
        </w:tc>
        <w:tc>
          <w:tcPr>
            <w:tcW w:w="708" w:type="dxa"/>
            <w:tcBorders>
              <w:top w:val="nil"/>
              <w:left w:val="nil"/>
              <w:bottom w:val="single" w:sz="4" w:space="0" w:color="auto"/>
              <w:right w:val="single" w:sz="4" w:space="0" w:color="auto"/>
            </w:tcBorders>
            <w:shd w:val="clear" w:color="auto" w:fill="auto"/>
            <w:noWrap/>
            <w:vAlign w:val="center"/>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02</w:t>
            </w:r>
          </w:p>
        </w:tc>
        <w:tc>
          <w:tcPr>
            <w:tcW w:w="661" w:type="dxa"/>
            <w:tcBorders>
              <w:top w:val="nil"/>
              <w:left w:val="nil"/>
              <w:bottom w:val="single" w:sz="4" w:space="0" w:color="auto"/>
              <w:right w:val="single" w:sz="4" w:space="0" w:color="auto"/>
            </w:tcBorders>
            <w:shd w:val="clear" w:color="auto" w:fill="auto"/>
            <w:noWrap/>
            <w:vAlign w:val="center"/>
          </w:tcPr>
          <w:p w:rsidR="001F5984" w:rsidRPr="001F5984" w:rsidRDefault="001F5984" w:rsidP="001F5984">
            <w:pPr>
              <w:widowControl/>
              <w:jc w:val="center"/>
              <w:rPr>
                <w:rFonts w:ascii="宋体" w:eastAsia="宋体" w:hAnsi="宋体" w:cs="宋体"/>
                <w:kern w:val="0"/>
                <w:sz w:val="22"/>
              </w:rPr>
            </w:pPr>
          </w:p>
        </w:tc>
        <w:tc>
          <w:tcPr>
            <w:tcW w:w="4862" w:type="dxa"/>
            <w:tcBorders>
              <w:top w:val="nil"/>
              <w:left w:val="nil"/>
              <w:bottom w:val="single" w:sz="4" w:space="0" w:color="auto"/>
              <w:right w:val="single" w:sz="4" w:space="0" w:color="auto"/>
            </w:tcBorders>
            <w:shd w:val="clear" w:color="auto" w:fill="auto"/>
            <w:vAlign w:val="center"/>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住房改革支出</w:t>
            </w:r>
          </w:p>
        </w:tc>
        <w:tc>
          <w:tcPr>
            <w:tcW w:w="2268" w:type="dxa"/>
            <w:tcBorders>
              <w:top w:val="nil"/>
              <w:left w:val="nil"/>
              <w:bottom w:val="single" w:sz="4" w:space="0" w:color="auto"/>
              <w:right w:val="single" w:sz="4" w:space="0" w:color="auto"/>
            </w:tcBorders>
            <w:shd w:val="clear" w:color="auto" w:fill="auto"/>
            <w:noWrap/>
            <w:vAlign w:val="center"/>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16,911,435</w:t>
            </w:r>
          </w:p>
        </w:tc>
        <w:tc>
          <w:tcPr>
            <w:tcW w:w="2268" w:type="dxa"/>
            <w:tcBorders>
              <w:top w:val="nil"/>
              <w:left w:val="nil"/>
              <w:bottom w:val="single" w:sz="4" w:space="0" w:color="auto"/>
              <w:right w:val="single" w:sz="4" w:space="0" w:color="auto"/>
            </w:tcBorders>
            <w:shd w:val="clear" w:color="auto" w:fill="auto"/>
            <w:noWrap/>
            <w:vAlign w:val="center"/>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16,911,435</w:t>
            </w:r>
          </w:p>
        </w:tc>
        <w:tc>
          <w:tcPr>
            <w:tcW w:w="2268" w:type="dxa"/>
            <w:tcBorders>
              <w:top w:val="nil"/>
              <w:left w:val="nil"/>
              <w:bottom w:val="single" w:sz="4" w:space="0" w:color="auto"/>
              <w:right w:val="single" w:sz="4" w:space="0" w:color="auto"/>
            </w:tcBorders>
            <w:shd w:val="clear" w:color="auto" w:fill="auto"/>
            <w:noWrap/>
            <w:vAlign w:val="center"/>
          </w:tcPr>
          <w:p w:rsidR="001F5984" w:rsidRPr="001F5984" w:rsidRDefault="001F5984" w:rsidP="001F5984">
            <w:pPr>
              <w:widowControl/>
              <w:jc w:val="right"/>
              <w:rPr>
                <w:rFonts w:ascii="宋体" w:eastAsia="宋体" w:hAnsi="宋体" w:cs="宋体"/>
                <w:kern w:val="0"/>
                <w:sz w:val="22"/>
              </w:rPr>
            </w:pPr>
          </w:p>
        </w:tc>
      </w:tr>
      <w:tr w:rsidR="001F5984" w:rsidRPr="00BE7E0E" w:rsidTr="00023045">
        <w:trPr>
          <w:trHeight w:val="4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221</w:t>
            </w:r>
          </w:p>
        </w:tc>
        <w:tc>
          <w:tcPr>
            <w:tcW w:w="708" w:type="dxa"/>
            <w:tcBorders>
              <w:top w:val="nil"/>
              <w:left w:val="nil"/>
              <w:bottom w:val="single" w:sz="4" w:space="0" w:color="auto"/>
              <w:right w:val="single" w:sz="4" w:space="0" w:color="auto"/>
            </w:tcBorders>
            <w:shd w:val="clear" w:color="auto" w:fill="auto"/>
            <w:noWrap/>
            <w:vAlign w:val="center"/>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02</w:t>
            </w:r>
          </w:p>
        </w:tc>
        <w:tc>
          <w:tcPr>
            <w:tcW w:w="661" w:type="dxa"/>
            <w:tcBorders>
              <w:top w:val="nil"/>
              <w:left w:val="nil"/>
              <w:bottom w:val="single" w:sz="4" w:space="0" w:color="auto"/>
              <w:right w:val="single" w:sz="4" w:space="0" w:color="auto"/>
            </w:tcBorders>
            <w:shd w:val="clear" w:color="auto" w:fill="auto"/>
            <w:noWrap/>
            <w:vAlign w:val="center"/>
          </w:tcPr>
          <w:p w:rsidR="001F5984" w:rsidRPr="001F5984" w:rsidRDefault="001F5984" w:rsidP="001F5984">
            <w:pPr>
              <w:widowControl/>
              <w:jc w:val="center"/>
              <w:rPr>
                <w:rFonts w:ascii="宋体" w:eastAsia="宋体" w:hAnsi="宋体" w:cs="宋体"/>
                <w:kern w:val="0"/>
                <w:sz w:val="22"/>
              </w:rPr>
            </w:pPr>
            <w:r w:rsidRPr="001F5984">
              <w:rPr>
                <w:rFonts w:ascii="宋体" w:eastAsia="宋体" w:hAnsi="宋体" w:cs="宋体" w:hint="eastAsia"/>
                <w:kern w:val="0"/>
                <w:sz w:val="22"/>
              </w:rPr>
              <w:t>01</w:t>
            </w:r>
          </w:p>
        </w:tc>
        <w:tc>
          <w:tcPr>
            <w:tcW w:w="4862" w:type="dxa"/>
            <w:tcBorders>
              <w:top w:val="nil"/>
              <w:left w:val="nil"/>
              <w:bottom w:val="single" w:sz="4" w:space="0" w:color="auto"/>
              <w:right w:val="single" w:sz="4" w:space="0" w:color="auto"/>
            </w:tcBorders>
            <w:shd w:val="clear" w:color="auto" w:fill="auto"/>
            <w:vAlign w:val="center"/>
          </w:tcPr>
          <w:p w:rsidR="001F5984" w:rsidRPr="001F5984" w:rsidRDefault="001F5984" w:rsidP="001F5984">
            <w:pPr>
              <w:widowControl/>
              <w:jc w:val="left"/>
              <w:rPr>
                <w:rFonts w:ascii="宋体" w:eastAsia="宋体" w:hAnsi="宋体" w:cs="宋体"/>
                <w:kern w:val="0"/>
                <w:sz w:val="22"/>
              </w:rPr>
            </w:pPr>
            <w:r w:rsidRPr="001F5984">
              <w:rPr>
                <w:rFonts w:ascii="宋体" w:eastAsia="宋体" w:hAnsi="宋体" w:cs="宋体" w:hint="eastAsia"/>
                <w:kern w:val="0"/>
                <w:sz w:val="22"/>
              </w:rPr>
              <w:t>住房公积金</w:t>
            </w:r>
          </w:p>
        </w:tc>
        <w:tc>
          <w:tcPr>
            <w:tcW w:w="2268" w:type="dxa"/>
            <w:tcBorders>
              <w:top w:val="nil"/>
              <w:left w:val="nil"/>
              <w:bottom w:val="single" w:sz="4" w:space="0" w:color="auto"/>
              <w:right w:val="single" w:sz="4" w:space="0" w:color="auto"/>
            </w:tcBorders>
            <w:shd w:val="clear" w:color="auto" w:fill="auto"/>
            <w:noWrap/>
            <w:vAlign w:val="center"/>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16,911,435</w:t>
            </w:r>
          </w:p>
        </w:tc>
        <w:tc>
          <w:tcPr>
            <w:tcW w:w="2268" w:type="dxa"/>
            <w:tcBorders>
              <w:top w:val="nil"/>
              <w:left w:val="nil"/>
              <w:bottom w:val="single" w:sz="4" w:space="0" w:color="auto"/>
              <w:right w:val="single" w:sz="4" w:space="0" w:color="auto"/>
            </w:tcBorders>
            <w:shd w:val="clear" w:color="auto" w:fill="auto"/>
            <w:noWrap/>
            <w:vAlign w:val="center"/>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hint="eastAsia"/>
                <w:kern w:val="0"/>
                <w:sz w:val="22"/>
              </w:rPr>
              <w:t>16,911,435</w:t>
            </w:r>
          </w:p>
        </w:tc>
        <w:tc>
          <w:tcPr>
            <w:tcW w:w="2268" w:type="dxa"/>
            <w:tcBorders>
              <w:top w:val="nil"/>
              <w:left w:val="nil"/>
              <w:bottom w:val="single" w:sz="4" w:space="0" w:color="auto"/>
              <w:right w:val="single" w:sz="4" w:space="0" w:color="auto"/>
            </w:tcBorders>
            <w:shd w:val="clear" w:color="auto" w:fill="auto"/>
            <w:noWrap/>
            <w:vAlign w:val="center"/>
          </w:tcPr>
          <w:p w:rsidR="001F5984" w:rsidRPr="001F5984" w:rsidRDefault="001F5984" w:rsidP="001F5984">
            <w:pPr>
              <w:widowControl/>
              <w:jc w:val="right"/>
              <w:rPr>
                <w:rFonts w:ascii="宋体" w:eastAsia="宋体" w:hAnsi="宋体" w:cs="宋体"/>
                <w:kern w:val="0"/>
                <w:sz w:val="22"/>
              </w:rPr>
            </w:pPr>
          </w:p>
        </w:tc>
      </w:tr>
      <w:tr w:rsidR="001F5984" w:rsidRPr="00BE7E0E" w:rsidTr="00023045">
        <w:trPr>
          <w:trHeight w:val="480"/>
          <w:jc w:val="center"/>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984" w:rsidRPr="00BE7E0E" w:rsidRDefault="001F5984" w:rsidP="001F5984">
            <w:pPr>
              <w:widowControl/>
              <w:jc w:val="center"/>
              <w:rPr>
                <w:rFonts w:ascii="宋体" w:eastAsia="宋体" w:hAnsi="宋体" w:cs="宋体"/>
                <w:kern w:val="0"/>
                <w:sz w:val="22"/>
              </w:rPr>
            </w:pPr>
            <w:r w:rsidRPr="00BE7E0E">
              <w:rPr>
                <w:rFonts w:ascii="宋体" w:eastAsia="宋体" w:hAnsi="宋体" w:cs="宋体" w:hint="eastAsia"/>
                <w:kern w:val="0"/>
                <w:sz w:val="22"/>
              </w:rPr>
              <w:t>合计</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kern w:val="0"/>
                <w:sz w:val="22"/>
              </w:rPr>
              <w:t>443,395,300</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kern w:val="0"/>
                <w:sz w:val="22"/>
              </w:rPr>
              <w:t>408,769,226</w:t>
            </w:r>
          </w:p>
        </w:tc>
        <w:tc>
          <w:tcPr>
            <w:tcW w:w="2268" w:type="dxa"/>
            <w:tcBorders>
              <w:top w:val="nil"/>
              <w:left w:val="nil"/>
              <w:bottom w:val="single" w:sz="4" w:space="0" w:color="auto"/>
              <w:right w:val="single" w:sz="4" w:space="0" w:color="auto"/>
            </w:tcBorders>
            <w:shd w:val="clear" w:color="auto" w:fill="auto"/>
            <w:noWrap/>
            <w:vAlign w:val="center"/>
            <w:hideMark/>
          </w:tcPr>
          <w:p w:rsidR="001F5984" w:rsidRPr="001F5984" w:rsidRDefault="001F5984" w:rsidP="001F5984">
            <w:pPr>
              <w:widowControl/>
              <w:jc w:val="right"/>
              <w:rPr>
                <w:rFonts w:ascii="宋体" w:eastAsia="宋体" w:hAnsi="宋体" w:cs="宋体"/>
                <w:kern w:val="0"/>
                <w:sz w:val="22"/>
              </w:rPr>
            </w:pPr>
            <w:r w:rsidRPr="001F5984">
              <w:rPr>
                <w:rFonts w:ascii="宋体" w:eastAsia="宋体" w:hAnsi="宋体" w:cs="宋体"/>
                <w:kern w:val="0"/>
                <w:sz w:val="22"/>
              </w:rPr>
              <w:t>34,626,074</w:t>
            </w:r>
          </w:p>
        </w:tc>
      </w:tr>
    </w:tbl>
    <w:p w:rsidR="00386908" w:rsidRDefault="00386908">
      <w:pPr>
        <w:rPr>
          <w:sz w:val="24"/>
          <w:szCs w:val="24"/>
        </w:rPr>
      </w:pPr>
    </w:p>
    <w:p w:rsidR="00386908" w:rsidRDefault="00386908">
      <w:pPr>
        <w:rPr>
          <w:sz w:val="24"/>
          <w:szCs w:val="24"/>
        </w:rPr>
      </w:pPr>
    </w:p>
    <w:p w:rsidR="005B193A" w:rsidRDefault="005B193A" w:rsidP="00BE7E0E">
      <w:pPr>
        <w:ind w:firstLineChars="200" w:firstLine="480"/>
        <w:rPr>
          <w:sz w:val="24"/>
          <w:szCs w:val="24"/>
        </w:rPr>
      </w:pPr>
      <w:r w:rsidRPr="005B193A">
        <w:rPr>
          <w:rFonts w:hint="eastAsia"/>
          <w:sz w:val="24"/>
          <w:szCs w:val="24"/>
        </w:rPr>
        <w:t>学校</w:t>
      </w:r>
      <w:r w:rsidR="00BE7E0E">
        <w:rPr>
          <w:rFonts w:hint="eastAsia"/>
          <w:sz w:val="24"/>
          <w:szCs w:val="24"/>
        </w:rPr>
        <w:t>20</w:t>
      </w:r>
      <w:r w:rsidR="00BE7E0E">
        <w:rPr>
          <w:sz w:val="24"/>
          <w:szCs w:val="24"/>
        </w:rPr>
        <w:t>2</w:t>
      </w:r>
      <w:r w:rsidR="00FD19AF">
        <w:rPr>
          <w:sz w:val="24"/>
          <w:szCs w:val="24"/>
        </w:rPr>
        <w:t>1</w:t>
      </w:r>
      <w:r w:rsidRPr="005B193A">
        <w:rPr>
          <w:rFonts w:hint="eastAsia"/>
          <w:sz w:val="24"/>
          <w:szCs w:val="24"/>
        </w:rPr>
        <w:t>年</w:t>
      </w:r>
      <w:r w:rsidR="00480F71">
        <w:rPr>
          <w:rFonts w:hint="eastAsia"/>
          <w:sz w:val="24"/>
          <w:szCs w:val="24"/>
        </w:rPr>
        <w:t>总</w:t>
      </w:r>
      <w:r w:rsidRPr="005B193A">
        <w:rPr>
          <w:rFonts w:hint="eastAsia"/>
          <w:sz w:val="24"/>
          <w:szCs w:val="24"/>
        </w:rPr>
        <w:t>支出预算共计</w:t>
      </w:r>
      <w:r w:rsidR="001F5984" w:rsidRPr="001F5984">
        <w:rPr>
          <w:sz w:val="24"/>
          <w:szCs w:val="24"/>
        </w:rPr>
        <w:t>443,395,300</w:t>
      </w:r>
      <w:r w:rsidRPr="005B193A">
        <w:rPr>
          <w:rFonts w:hint="eastAsia"/>
          <w:sz w:val="24"/>
          <w:szCs w:val="24"/>
        </w:rPr>
        <w:t>元，其中：基本支出</w:t>
      </w:r>
      <w:r w:rsidR="001F5984" w:rsidRPr="001F5984">
        <w:rPr>
          <w:sz w:val="24"/>
          <w:szCs w:val="24"/>
        </w:rPr>
        <w:t>408,769,226</w:t>
      </w:r>
      <w:r w:rsidRPr="005B193A">
        <w:rPr>
          <w:rFonts w:hint="eastAsia"/>
          <w:sz w:val="24"/>
          <w:szCs w:val="24"/>
        </w:rPr>
        <w:t>元，项目支出</w:t>
      </w:r>
      <w:r w:rsidR="001F5984" w:rsidRPr="001F5984">
        <w:rPr>
          <w:sz w:val="24"/>
          <w:szCs w:val="24"/>
        </w:rPr>
        <w:t>34,626,074</w:t>
      </w:r>
      <w:r w:rsidRPr="005B193A">
        <w:rPr>
          <w:rFonts w:hint="eastAsia"/>
          <w:sz w:val="24"/>
          <w:szCs w:val="24"/>
        </w:rPr>
        <w:t>元。</w:t>
      </w:r>
    </w:p>
    <w:p w:rsidR="00B119BB" w:rsidRPr="00480F71" w:rsidRDefault="00B119BB">
      <w:pPr>
        <w:rPr>
          <w:sz w:val="24"/>
          <w:szCs w:val="24"/>
        </w:rPr>
      </w:pPr>
    </w:p>
    <w:p w:rsidR="005B193A" w:rsidRDefault="005B193A" w:rsidP="00BE7E0E">
      <w:pPr>
        <w:ind w:firstLineChars="200" w:firstLine="480"/>
        <w:rPr>
          <w:sz w:val="24"/>
          <w:szCs w:val="24"/>
        </w:rPr>
      </w:pPr>
      <w:r w:rsidRPr="005B193A">
        <w:rPr>
          <w:rFonts w:hint="eastAsia"/>
          <w:sz w:val="24"/>
          <w:szCs w:val="24"/>
        </w:rPr>
        <w:t>名词解释：</w:t>
      </w:r>
    </w:p>
    <w:p w:rsidR="005F3062" w:rsidRPr="007C1709" w:rsidRDefault="005F3062" w:rsidP="005F3062">
      <w:pPr>
        <w:ind w:firstLineChars="200" w:firstLine="480"/>
        <w:rPr>
          <w:sz w:val="24"/>
          <w:szCs w:val="24"/>
        </w:rPr>
      </w:pPr>
      <w:r>
        <w:rPr>
          <w:rFonts w:hint="eastAsia"/>
          <w:sz w:val="24"/>
          <w:szCs w:val="24"/>
        </w:rPr>
        <w:t>1</w:t>
      </w:r>
      <w:r w:rsidRPr="007C1709">
        <w:rPr>
          <w:rFonts w:hint="eastAsia"/>
          <w:sz w:val="24"/>
          <w:szCs w:val="24"/>
        </w:rPr>
        <w:t>．社会保障和就业支出：反映政府在社会保障与就业方面的支出。</w:t>
      </w:r>
    </w:p>
    <w:p w:rsidR="005F3062" w:rsidRPr="007C1709" w:rsidRDefault="005F3062" w:rsidP="005F3062">
      <w:pPr>
        <w:ind w:firstLineChars="200" w:firstLine="480"/>
        <w:rPr>
          <w:sz w:val="24"/>
          <w:szCs w:val="24"/>
        </w:rPr>
      </w:pPr>
      <w:r>
        <w:rPr>
          <w:rFonts w:hint="eastAsia"/>
          <w:sz w:val="24"/>
          <w:szCs w:val="24"/>
        </w:rPr>
        <w:t>2</w:t>
      </w:r>
      <w:r w:rsidRPr="007C1709">
        <w:rPr>
          <w:rFonts w:hint="eastAsia"/>
          <w:sz w:val="24"/>
          <w:szCs w:val="24"/>
        </w:rPr>
        <w:t>．医疗卫生与计划生育支出：反映政府医疗卫生与计划生育管理方面的支出。</w:t>
      </w:r>
    </w:p>
    <w:p w:rsidR="005B193A" w:rsidRDefault="00DE4A28" w:rsidP="00827242">
      <w:pPr>
        <w:ind w:firstLineChars="200" w:firstLine="480"/>
        <w:rPr>
          <w:sz w:val="24"/>
          <w:szCs w:val="24"/>
        </w:rPr>
      </w:pPr>
      <w:r>
        <w:rPr>
          <w:rFonts w:hint="eastAsia"/>
          <w:sz w:val="24"/>
          <w:szCs w:val="24"/>
        </w:rPr>
        <w:t>3</w:t>
      </w:r>
      <w:r>
        <w:rPr>
          <w:rFonts w:hint="eastAsia"/>
          <w:sz w:val="24"/>
          <w:szCs w:val="24"/>
        </w:rPr>
        <w:t>．</w:t>
      </w:r>
      <w:r w:rsidR="00B9296B" w:rsidRPr="00B119BB">
        <w:rPr>
          <w:rFonts w:hint="eastAsia"/>
          <w:sz w:val="24"/>
          <w:szCs w:val="24"/>
        </w:rPr>
        <w:t>高等教育</w:t>
      </w:r>
      <w:r w:rsidR="00B9296B" w:rsidRPr="00827242">
        <w:rPr>
          <w:rFonts w:hint="eastAsia"/>
          <w:sz w:val="24"/>
          <w:szCs w:val="24"/>
        </w:rPr>
        <w:t>：反映经国家批准设立的中央和省、自治区、直辖市各部门所属的全日制普通高等院校（包括研究生）的支出。政府各部门对社会中介组织等举办的各类高等院校的资助，如捐赠、补贴等，也在本科目中反映。</w:t>
      </w:r>
    </w:p>
    <w:p w:rsidR="00827242" w:rsidRPr="00827242" w:rsidRDefault="00DE4A28" w:rsidP="00827242">
      <w:pPr>
        <w:ind w:firstLineChars="200" w:firstLine="480"/>
        <w:rPr>
          <w:sz w:val="24"/>
          <w:szCs w:val="24"/>
        </w:rPr>
      </w:pPr>
      <w:r>
        <w:rPr>
          <w:rFonts w:hint="eastAsia"/>
          <w:sz w:val="24"/>
          <w:szCs w:val="24"/>
        </w:rPr>
        <w:t>4</w:t>
      </w:r>
      <w:r>
        <w:rPr>
          <w:rFonts w:hint="eastAsia"/>
          <w:sz w:val="24"/>
          <w:szCs w:val="24"/>
        </w:rPr>
        <w:t>．</w:t>
      </w:r>
      <w:r w:rsidR="00827242" w:rsidRPr="00827242">
        <w:rPr>
          <w:rFonts w:hint="eastAsia"/>
          <w:sz w:val="24"/>
          <w:szCs w:val="24"/>
        </w:rPr>
        <w:t>教育费附加安排的支出：反映用教育费附加安排的支出。</w:t>
      </w:r>
    </w:p>
    <w:p w:rsidR="004850F2" w:rsidRDefault="00DE4A28" w:rsidP="00827242">
      <w:pPr>
        <w:ind w:firstLineChars="200" w:firstLine="480"/>
        <w:rPr>
          <w:sz w:val="24"/>
          <w:szCs w:val="24"/>
        </w:rPr>
      </w:pPr>
      <w:r>
        <w:rPr>
          <w:rFonts w:hint="eastAsia"/>
          <w:sz w:val="24"/>
          <w:szCs w:val="24"/>
        </w:rPr>
        <w:t>5</w:t>
      </w:r>
      <w:r>
        <w:rPr>
          <w:rFonts w:hint="eastAsia"/>
          <w:sz w:val="24"/>
          <w:szCs w:val="24"/>
        </w:rPr>
        <w:t>．</w:t>
      </w:r>
      <w:r w:rsidR="00827242" w:rsidRPr="00B119BB">
        <w:rPr>
          <w:rFonts w:hint="eastAsia"/>
          <w:sz w:val="24"/>
          <w:szCs w:val="24"/>
        </w:rPr>
        <w:t>事业单位离退休</w:t>
      </w:r>
      <w:r w:rsidR="00827242" w:rsidRPr="00827242">
        <w:rPr>
          <w:rFonts w:hint="eastAsia"/>
          <w:sz w:val="24"/>
          <w:szCs w:val="24"/>
        </w:rPr>
        <w:t>：反映实行归口管理的事业单位开支的离退休经费。</w:t>
      </w:r>
    </w:p>
    <w:p w:rsidR="00827242" w:rsidRDefault="00DE4A28" w:rsidP="00827242">
      <w:pPr>
        <w:ind w:firstLineChars="200" w:firstLine="480"/>
        <w:rPr>
          <w:sz w:val="24"/>
          <w:szCs w:val="24"/>
        </w:rPr>
      </w:pPr>
      <w:r>
        <w:rPr>
          <w:rFonts w:hint="eastAsia"/>
          <w:sz w:val="24"/>
          <w:szCs w:val="24"/>
        </w:rPr>
        <w:t>6</w:t>
      </w:r>
      <w:r>
        <w:rPr>
          <w:rFonts w:hint="eastAsia"/>
          <w:sz w:val="24"/>
          <w:szCs w:val="24"/>
        </w:rPr>
        <w:t>．</w:t>
      </w:r>
      <w:r w:rsidR="00827242" w:rsidRPr="00B119BB">
        <w:rPr>
          <w:rFonts w:hint="eastAsia"/>
          <w:sz w:val="24"/>
          <w:szCs w:val="24"/>
        </w:rPr>
        <w:t>机关事业单位基本养老保险缴费支出</w:t>
      </w:r>
      <w:r w:rsidR="00827242" w:rsidRPr="00827242">
        <w:rPr>
          <w:rFonts w:hint="eastAsia"/>
          <w:sz w:val="24"/>
          <w:szCs w:val="24"/>
        </w:rPr>
        <w:t>：反映机关事业单位实施养老保险制度由单位缴纳的基本养老保险费支出。</w:t>
      </w:r>
    </w:p>
    <w:p w:rsidR="00827242" w:rsidRDefault="00DE4A28" w:rsidP="00827242">
      <w:pPr>
        <w:ind w:firstLineChars="200" w:firstLine="480"/>
        <w:rPr>
          <w:sz w:val="24"/>
          <w:szCs w:val="24"/>
        </w:rPr>
      </w:pPr>
      <w:r>
        <w:rPr>
          <w:rFonts w:hint="eastAsia"/>
          <w:sz w:val="24"/>
          <w:szCs w:val="24"/>
        </w:rPr>
        <w:t>7</w:t>
      </w:r>
      <w:r>
        <w:rPr>
          <w:rFonts w:hint="eastAsia"/>
          <w:sz w:val="24"/>
          <w:szCs w:val="24"/>
        </w:rPr>
        <w:t>．</w:t>
      </w:r>
      <w:r w:rsidR="00827242" w:rsidRPr="00B119BB">
        <w:rPr>
          <w:rFonts w:hint="eastAsia"/>
          <w:sz w:val="24"/>
          <w:szCs w:val="24"/>
        </w:rPr>
        <w:t>机关事业单位职业年金缴费支出</w:t>
      </w:r>
      <w:r w:rsidR="00827242" w:rsidRPr="00827242">
        <w:rPr>
          <w:rFonts w:hint="eastAsia"/>
          <w:sz w:val="24"/>
          <w:szCs w:val="24"/>
        </w:rPr>
        <w:t>：反映机关事业单位实施养老保险制度由单位实际缴纳的职业年金支出。</w:t>
      </w:r>
    </w:p>
    <w:p w:rsidR="00DE4A28" w:rsidRDefault="00DE4A28" w:rsidP="00DE4A28">
      <w:pPr>
        <w:ind w:firstLineChars="200" w:firstLine="480"/>
        <w:rPr>
          <w:sz w:val="24"/>
          <w:szCs w:val="24"/>
        </w:rPr>
      </w:pPr>
      <w:r>
        <w:rPr>
          <w:rFonts w:hint="eastAsia"/>
          <w:sz w:val="24"/>
          <w:szCs w:val="24"/>
        </w:rPr>
        <w:t>8</w:t>
      </w:r>
      <w:r>
        <w:rPr>
          <w:rFonts w:hint="eastAsia"/>
          <w:sz w:val="24"/>
          <w:szCs w:val="24"/>
        </w:rPr>
        <w:t>．</w:t>
      </w:r>
      <w:r w:rsidRPr="00DE4A28">
        <w:rPr>
          <w:rFonts w:hint="eastAsia"/>
          <w:sz w:val="24"/>
          <w:szCs w:val="24"/>
        </w:rPr>
        <w:t>行政事业单位医疗反映行政事业单位医疗方面的支出。</w:t>
      </w:r>
    </w:p>
    <w:p w:rsidR="00DE4A28" w:rsidRDefault="00DE4A28" w:rsidP="00DE4A28">
      <w:pPr>
        <w:ind w:firstLineChars="200" w:firstLine="480"/>
        <w:rPr>
          <w:sz w:val="24"/>
          <w:szCs w:val="24"/>
        </w:rPr>
      </w:pPr>
      <w:r>
        <w:rPr>
          <w:rFonts w:hint="eastAsia"/>
          <w:sz w:val="24"/>
          <w:szCs w:val="24"/>
        </w:rPr>
        <w:t>9</w:t>
      </w:r>
      <w:r>
        <w:rPr>
          <w:rFonts w:hint="eastAsia"/>
          <w:sz w:val="24"/>
          <w:szCs w:val="24"/>
        </w:rPr>
        <w:t>．</w:t>
      </w:r>
      <w:r w:rsidRPr="00DE4A28">
        <w:rPr>
          <w:rFonts w:hint="eastAsia"/>
          <w:sz w:val="24"/>
          <w:szCs w:val="24"/>
        </w:rPr>
        <w:t>事业单位医疗</w:t>
      </w:r>
      <w:r>
        <w:rPr>
          <w:rFonts w:hint="eastAsia"/>
          <w:sz w:val="24"/>
          <w:szCs w:val="24"/>
        </w:rPr>
        <w:t>：</w:t>
      </w:r>
      <w:r w:rsidRPr="00DE4A28">
        <w:rPr>
          <w:rFonts w:hint="eastAsia"/>
          <w:sz w:val="24"/>
          <w:szCs w:val="24"/>
        </w:rPr>
        <w:t>反映财政部门集中安排的事业单位基本医疗保险缴费经费，未参加医疗保险的事业单位的公费医疗经费，按国家规定享受离休人员待遇的医疗经费。</w:t>
      </w:r>
    </w:p>
    <w:p w:rsidR="00DE4A28" w:rsidRDefault="00DE4A28" w:rsidP="00733F5A">
      <w:pPr>
        <w:ind w:firstLineChars="200" w:firstLine="480"/>
        <w:rPr>
          <w:sz w:val="24"/>
          <w:szCs w:val="24"/>
        </w:rPr>
      </w:pPr>
      <w:r>
        <w:rPr>
          <w:rFonts w:hint="eastAsia"/>
          <w:sz w:val="24"/>
          <w:szCs w:val="24"/>
        </w:rPr>
        <w:t>10</w:t>
      </w:r>
      <w:r>
        <w:rPr>
          <w:rFonts w:hint="eastAsia"/>
          <w:sz w:val="24"/>
          <w:szCs w:val="24"/>
        </w:rPr>
        <w:t>．</w:t>
      </w:r>
      <w:r w:rsidRPr="00DE4A28">
        <w:rPr>
          <w:rFonts w:hint="eastAsia"/>
          <w:sz w:val="24"/>
          <w:szCs w:val="24"/>
        </w:rPr>
        <w:t>其他医疗卫生与计划生育支出</w:t>
      </w:r>
      <w:r>
        <w:rPr>
          <w:rFonts w:hint="eastAsia"/>
          <w:sz w:val="24"/>
          <w:szCs w:val="24"/>
        </w:rPr>
        <w:t>：</w:t>
      </w:r>
      <w:r w:rsidRPr="00DE4A28">
        <w:rPr>
          <w:rFonts w:hint="eastAsia"/>
          <w:sz w:val="24"/>
          <w:szCs w:val="24"/>
        </w:rPr>
        <w:t>反映除上述项目以外其他用于医疗卫生与计划生育方面的支出。</w:t>
      </w:r>
    </w:p>
    <w:p w:rsidR="00733F5A" w:rsidRDefault="00733F5A" w:rsidP="00733F5A">
      <w:pPr>
        <w:ind w:firstLineChars="200" w:firstLine="480"/>
        <w:rPr>
          <w:sz w:val="24"/>
          <w:szCs w:val="24"/>
        </w:rPr>
      </w:pPr>
      <w:r>
        <w:rPr>
          <w:rFonts w:hint="eastAsia"/>
          <w:sz w:val="24"/>
          <w:szCs w:val="24"/>
        </w:rPr>
        <w:t>11</w:t>
      </w:r>
      <w:r>
        <w:rPr>
          <w:rFonts w:hint="eastAsia"/>
          <w:sz w:val="24"/>
          <w:szCs w:val="24"/>
        </w:rPr>
        <w:t>．</w:t>
      </w:r>
      <w:r w:rsidRPr="00733F5A">
        <w:rPr>
          <w:rFonts w:hint="eastAsia"/>
          <w:sz w:val="24"/>
          <w:szCs w:val="24"/>
        </w:rPr>
        <w:t>住房保障支出</w:t>
      </w:r>
      <w:r>
        <w:rPr>
          <w:rFonts w:hint="eastAsia"/>
          <w:sz w:val="24"/>
          <w:szCs w:val="24"/>
        </w:rPr>
        <w:t>：</w:t>
      </w:r>
      <w:r w:rsidR="00F40E6F" w:rsidRPr="00F40E6F">
        <w:rPr>
          <w:rFonts w:hint="eastAsia"/>
          <w:sz w:val="24"/>
          <w:szCs w:val="24"/>
        </w:rPr>
        <w:t>反映政府用于住房保障等事务支出，包括保障性住房支出、住房改革支出和城乡社区住宅等方面支出。</w:t>
      </w:r>
    </w:p>
    <w:p w:rsidR="007C1709" w:rsidRPr="007C1709" w:rsidRDefault="007C1709" w:rsidP="007C1709">
      <w:pPr>
        <w:ind w:firstLineChars="200" w:firstLine="480"/>
        <w:rPr>
          <w:sz w:val="24"/>
          <w:szCs w:val="24"/>
        </w:rPr>
      </w:pPr>
      <w:r>
        <w:rPr>
          <w:rFonts w:hint="eastAsia"/>
          <w:sz w:val="24"/>
          <w:szCs w:val="24"/>
        </w:rPr>
        <w:t>12</w:t>
      </w:r>
      <w:r w:rsidRPr="007C1709">
        <w:rPr>
          <w:rFonts w:hint="eastAsia"/>
          <w:sz w:val="24"/>
          <w:szCs w:val="24"/>
        </w:rPr>
        <w:t>．教育支出：反映政府教育事务支出。</w:t>
      </w:r>
    </w:p>
    <w:sectPr w:rsidR="007C1709" w:rsidRPr="007C1709" w:rsidSect="00B119BB">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B6B" w:rsidRDefault="00CE1B6B" w:rsidP="002E489A">
      <w:r>
        <w:separator/>
      </w:r>
    </w:p>
  </w:endnote>
  <w:endnote w:type="continuationSeparator" w:id="0">
    <w:p w:rsidR="00CE1B6B" w:rsidRDefault="00CE1B6B" w:rsidP="002E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B6B" w:rsidRDefault="00CE1B6B" w:rsidP="002E489A">
      <w:r>
        <w:separator/>
      </w:r>
    </w:p>
  </w:footnote>
  <w:footnote w:type="continuationSeparator" w:id="0">
    <w:p w:rsidR="00CE1B6B" w:rsidRDefault="00CE1B6B" w:rsidP="002E4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55"/>
    <w:rsid w:val="00023045"/>
    <w:rsid w:val="0003661F"/>
    <w:rsid w:val="000C62A9"/>
    <w:rsid w:val="001F5984"/>
    <w:rsid w:val="00256630"/>
    <w:rsid w:val="002B2AE5"/>
    <w:rsid w:val="002C6539"/>
    <w:rsid w:val="002E489A"/>
    <w:rsid w:val="00386908"/>
    <w:rsid w:val="00397C4C"/>
    <w:rsid w:val="00480F71"/>
    <w:rsid w:val="004850F2"/>
    <w:rsid w:val="00585A49"/>
    <w:rsid w:val="00592C5C"/>
    <w:rsid w:val="005B193A"/>
    <w:rsid w:val="005F3062"/>
    <w:rsid w:val="00702DAC"/>
    <w:rsid w:val="00733F5A"/>
    <w:rsid w:val="007C1709"/>
    <w:rsid w:val="00815800"/>
    <w:rsid w:val="00821C8E"/>
    <w:rsid w:val="00827020"/>
    <w:rsid w:val="00827242"/>
    <w:rsid w:val="00925AF6"/>
    <w:rsid w:val="00932EDB"/>
    <w:rsid w:val="009D0CD3"/>
    <w:rsid w:val="00A465D6"/>
    <w:rsid w:val="00A8232D"/>
    <w:rsid w:val="00B119BB"/>
    <w:rsid w:val="00B768BB"/>
    <w:rsid w:val="00B9296B"/>
    <w:rsid w:val="00B9314F"/>
    <w:rsid w:val="00BE7E0E"/>
    <w:rsid w:val="00C75DB3"/>
    <w:rsid w:val="00CE1B6B"/>
    <w:rsid w:val="00D023BF"/>
    <w:rsid w:val="00D27A55"/>
    <w:rsid w:val="00D65A20"/>
    <w:rsid w:val="00DE4A28"/>
    <w:rsid w:val="00EF4DCF"/>
    <w:rsid w:val="00F079B9"/>
    <w:rsid w:val="00F40E6F"/>
    <w:rsid w:val="00FD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364333-478D-4774-AD93-A35B7E5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89A"/>
    <w:rPr>
      <w:sz w:val="18"/>
      <w:szCs w:val="18"/>
    </w:rPr>
  </w:style>
  <w:style w:type="paragraph" w:styleId="a4">
    <w:name w:val="footer"/>
    <w:basedOn w:val="a"/>
    <w:link w:val="Char0"/>
    <w:uiPriority w:val="99"/>
    <w:unhideWhenUsed/>
    <w:rsid w:val="002E489A"/>
    <w:pPr>
      <w:tabs>
        <w:tab w:val="center" w:pos="4153"/>
        <w:tab w:val="right" w:pos="8306"/>
      </w:tabs>
      <w:snapToGrid w:val="0"/>
      <w:jc w:val="left"/>
    </w:pPr>
    <w:rPr>
      <w:sz w:val="18"/>
      <w:szCs w:val="18"/>
    </w:rPr>
  </w:style>
  <w:style w:type="character" w:customStyle="1" w:styleId="Char0">
    <w:name w:val="页脚 Char"/>
    <w:basedOn w:val="a0"/>
    <w:link w:val="a4"/>
    <w:uiPriority w:val="99"/>
    <w:rsid w:val="002E48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82">
      <w:bodyDiv w:val="1"/>
      <w:marLeft w:val="0"/>
      <w:marRight w:val="0"/>
      <w:marTop w:val="0"/>
      <w:marBottom w:val="0"/>
      <w:divBdr>
        <w:top w:val="none" w:sz="0" w:space="0" w:color="auto"/>
        <w:left w:val="none" w:sz="0" w:space="0" w:color="auto"/>
        <w:bottom w:val="none" w:sz="0" w:space="0" w:color="auto"/>
        <w:right w:val="none" w:sz="0" w:space="0" w:color="auto"/>
      </w:divBdr>
    </w:div>
    <w:div w:id="18894988">
      <w:bodyDiv w:val="1"/>
      <w:marLeft w:val="0"/>
      <w:marRight w:val="0"/>
      <w:marTop w:val="0"/>
      <w:marBottom w:val="0"/>
      <w:divBdr>
        <w:top w:val="none" w:sz="0" w:space="0" w:color="auto"/>
        <w:left w:val="none" w:sz="0" w:space="0" w:color="auto"/>
        <w:bottom w:val="none" w:sz="0" w:space="0" w:color="auto"/>
        <w:right w:val="none" w:sz="0" w:space="0" w:color="auto"/>
      </w:divBdr>
    </w:div>
    <w:div w:id="32582876">
      <w:bodyDiv w:val="1"/>
      <w:marLeft w:val="0"/>
      <w:marRight w:val="0"/>
      <w:marTop w:val="0"/>
      <w:marBottom w:val="0"/>
      <w:divBdr>
        <w:top w:val="none" w:sz="0" w:space="0" w:color="auto"/>
        <w:left w:val="none" w:sz="0" w:space="0" w:color="auto"/>
        <w:bottom w:val="none" w:sz="0" w:space="0" w:color="auto"/>
        <w:right w:val="none" w:sz="0" w:space="0" w:color="auto"/>
      </w:divBdr>
    </w:div>
    <w:div w:id="110444277">
      <w:bodyDiv w:val="1"/>
      <w:marLeft w:val="0"/>
      <w:marRight w:val="0"/>
      <w:marTop w:val="0"/>
      <w:marBottom w:val="0"/>
      <w:divBdr>
        <w:top w:val="none" w:sz="0" w:space="0" w:color="auto"/>
        <w:left w:val="none" w:sz="0" w:space="0" w:color="auto"/>
        <w:bottom w:val="none" w:sz="0" w:space="0" w:color="auto"/>
        <w:right w:val="none" w:sz="0" w:space="0" w:color="auto"/>
      </w:divBdr>
    </w:div>
    <w:div w:id="156922458">
      <w:bodyDiv w:val="1"/>
      <w:marLeft w:val="0"/>
      <w:marRight w:val="0"/>
      <w:marTop w:val="0"/>
      <w:marBottom w:val="0"/>
      <w:divBdr>
        <w:top w:val="none" w:sz="0" w:space="0" w:color="auto"/>
        <w:left w:val="none" w:sz="0" w:space="0" w:color="auto"/>
        <w:bottom w:val="none" w:sz="0" w:space="0" w:color="auto"/>
        <w:right w:val="none" w:sz="0" w:space="0" w:color="auto"/>
      </w:divBdr>
    </w:div>
    <w:div w:id="503059342">
      <w:bodyDiv w:val="1"/>
      <w:marLeft w:val="0"/>
      <w:marRight w:val="0"/>
      <w:marTop w:val="0"/>
      <w:marBottom w:val="0"/>
      <w:divBdr>
        <w:top w:val="none" w:sz="0" w:space="0" w:color="auto"/>
        <w:left w:val="none" w:sz="0" w:space="0" w:color="auto"/>
        <w:bottom w:val="none" w:sz="0" w:space="0" w:color="auto"/>
        <w:right w:val="none" w:sz="0" w:space="0" w:color="auto"/>
      </w:divBdr>
    </w:div>
    <w:div w:id="675957610">
      <w:bodyDiv w:val="1"/>
      <w:marLeft w:val="0"/>
      <w:marRight w:val="0"/>
      <w:marTop w:val="0"/>
      <w:marBottom w:val="0"/>
      <w:divBdr>
        <w:top w:val="none" w:sz="0" w:space="0" w:color="auto"/>
        <w:left w:val="none" w:sz="0" w:space="0" w:color="auto"/>
        <w:bottom w:val="none" w:sz="0" w:space="0" w:color="auto"/>
        <w:right w:val="none" w:sz="0" w:space="0" w:color="auto"/>
      </w:divBdr>
    </w:div>
    <w:div w:id="947084140">
      <w:bodyDiv w:val="1"/>
      <w:marLeft w:val="0"/>
      <w:marRight w:val="0"/>
      <w:marTop w:val="0"/>
      <w:marBottom w:val="0"/>
      <w:divBdr>
        <w:top w:val="none" w:sz="0" w:space="0" w:color="auto"/>
        <w:left w:val="none" w:sz="0" w:space="0" w:color="auto"/>
        <w:bottom w:val="none" w:sz="0" w:space="0" w:color="auto"/>
        <w:right w:val="none" w:sz="0" w:space="0" w:color="auto"/>
      </w:divBdr>
    </w:div>
    <w:div w:id="993415371">
      <w:bodyDiv w:val="1"/>
      <w:marLeft w:val="0"/>
      <w:marRight w:val="0"/>
      <w:marTop w:val="0"/>
      <w:marBottom w:val="0"/>
      <w:divBdr>
        <w:top w:val="none" w:sz="0" w:space="0" w:color="auto"/>
        <w:left w:val="none" w:sz="0" w:space="0" w:color="auto"/>
        <w:bottom w:val="none" w:sz="0" w:space="0" w:color="auto"/>
        <w:right w:val="none" w:sz="0" w:space="0" w:color="auto"/>
      </w:divBdr>
    </w:div>
    <w:div w:id="1102334590">
      <w:bodyDiv w:val="1"/>
      <w:marLeft w:val="0"/>
      <w:marRight w:val="0"/>
      <w:marTop w:val="0"/>
      <w:marBottom w:val="0"/>
      <w:divBdr>
        <w:top w:val="none" w:sz="0" w:space="0" w:color="auto"/>
        <w:left w:val="none" w:sz="0" w:space="0" w:color="auto"/>
        <w:bottom w:val="none" w:sz="0" w:space="0" w:color="auto"/>
        <w:right w:val="none" w:sz="0" w:space="0" w:color="auto"/>
      </w:divBdr>
    </w:div>
    <w:div w:id="1220821282">
      <w:bodyDiv w:val="1"/>
      <w:marLeft w:val="0"/>
      <w:marRight w:val="0"/>
      <w:marTop w:val="0"/>
      <w:marBottom w:val="0"/>
      <w:divBdr>
        <w:top w:val="none" w:sz="0" w:space="0" w:color="auto"/>
        <w:left w:val="none" w:sz="0" w:space="0" w:color="auto"/>
        <w:bottom w:val="none" w:sz="0" w:space="0" w:color="auto"/>
        <w:right w:val="none" w:sz="0" w:space="0" w:color="auto"/>
      </w:divBdr>
    </w:div>
    <w:div w:id="1427001431">
      <w:bodyDiv w:val="1"/>
      <w:marLeft w:val="0"/>
      <w:marRight w:val="0"/>
      <w:marTop w:val="0"/>
      <w:marBottom w:val="0"/>
      <w:divBdr>
        <w:top w:val="none" w:sz="0" w:space="0" w:color="auto"/>
        <w:left w:val="none" w:sz="0" w:space="0" w:color="auto"/>
        <w:bottom w:val="none" w:sz="0" w:space="0" w:color="auto"/>
        <w:right w:val="none" w:sz="0" w:space="0" w:color="auto"/>
      </w:divBdr>
    </w:div>
    <w:div w:id="1570455279">
      <w:bodyDiv w:val="1"/>
      <w:marLeft w:val="0"/>
      <w:marRight w:val="0"/>
      <w:marTop w:val="0"/>
      <w:marBottom w:val="0"/>
      <w:divBdr>
        <w:top w:val="none" w:sz="0" w:space="0" w:color="auto"/>
        <w:left w:val="none" w:sz="0" w:space="0" w:color="auto"/>
        <w:bottom w:val="none" w:sz="0" w:space="0" w:color="auto"/>
        <w:right w:val="none" w:sz="0" w:space="0" w:color="auto"/>
      </w:divBdr>
    </w:div>
    <w:div w:id="1710497760">
      <w:bodyDiv w:val="1"/>
      <w:marLeft w:val="0"/>
      <w:marRight w:val="0"/>
      <w:marTop w:val="0"/>
      <w:marBottom w:val="0"/>
      <w:divBdr>
        <w:top w:val="none" w:sz="0" w:space="0" w:color="auto"/>
        <w:left w:val="none" w:sz="0" w:space="0" w:color="auto"/>
        <w:bottom w:val="none" w:sz="0" w:space="0" w:color="auto"/>
        <w:right w:val="none" w:sz="0" w:space="0" w:color="auto"/>
      </w:divBdr>
    </w:div>
    <w:div w:id="181151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237</Words>
  <Characters>1351</Characters>
  <Application>Microsoft Office Word</Application>
  <DocSecurity>0</DocSecurity>
  <Lines>11</Lines>
  <Paragraphs>3</Paragraphs>
  <ScaleCrop>false</ScaleCrop>
  <Company>SDWM</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MAC</cp:lastModifiedBy>
  <cp:revision>6</cp:revision>
  <dcterms:created xsi:type="dcterms:W3CDTF">2020-10-16T01:50:00Z</dcterms:created>
  <dcterms:modified xsi:type="dcterms:W3CDTF">2022-10-26T10:04:00Z</dcterms:modified>
</cp:coreProperties>
</file>